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rFonts w:ascii="Red Hat Display" w:hAnsi="Red Hat Display"/>
          <w:color w:val="EE0000"/>
          <w:sz w:val="48"/>
        </w:rPr>
        <w:t>OpenShift POC checklist</w:t>
      </w:r>
    </w:p>
    <w:p>
      <w:r>
        <w:t>This checklist provides a complete end-to-end baseline for validating OpenShift in your environment. Not every item will apply to every environment — skip sections that are out of scope for your specific goals.</w:t>
      </w:r>
    </w:p>
    <w:p/>
    <w:p>
      <w:pPr>
        <w:pStyle w:val="Heading1"/>
      </w:pPr>
      <w:r>
        <w:t>Phase 1: Discovery and scoping</w:t>
      </w:r>
    </w:p>
    <w:p>
      <w:r>
        <w:t>Complete this phase before any technical work begins. Align on goals, boundaries, and what a successful outcome looks like.</w:t>
      </w:r>
    </w:p>
    <w:p>
      <w:pPr>
        <w:pStyle w:val="Heading2"/>
      </w:pPr>
      <w:r>
        <w:t>Goals and drivers</w:t>
      </w:r>
    </w:p>
    <w:tbl>
      <w:tblPr>
        <w:tblStyle w:val="TableGrid"/>
        <w:tblW w:type="dxa" w:w="10203"/>
        <w:jc w:val="center"/>
        <w:tblLayout w:type="fixed"/>
        <w:tblLook w:firstColumn="1" w:firstRow="1" w:lastColumn="0" w:lastRow="0" w:noHBand="0" w:noVBand="1" w:val="04A0"/>
      </w:tblPr>
      <w:tblGrid>
        <w:gridCol w:w="5102"/>
        <w:gridCol w:w="1020"/>
        <w:gridCol w:w="4081"/>
      </w:tblGrid>
      <w:tr>
        <w:tc>
          <w:tcPr>
            <w:tcW w:type="dxa" w:w="5102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Item</w:t>
            </w:r>
          </w:p>
        </w:tc>
        <w:tc>
          <w:tcPr>
            <w:tcW w:type="dxa" w:w="1020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Status</w:t>
            </w:r>
          </w:p>
        </w:tc>
        <w:tc>
          <w:tcPr>
            <w:tcW w:type="dxa" w:w="4081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Notes</w:t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Document specific POC objectives with measurable outcomes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Identify which applications or workloads will be evaluated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Capture high-availability and recovery expectations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Note any security, regulatory, or compliance constraints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Understand target production timeline and anticipated scale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</w:tbl>
    <w:p/>
    <w:p>
      <w:pPr>
        <w:pStyle w:val="Heading2"/>
      </w:pPr>
      <w:r>
        <w:t>Boundaries and assumptions</w:t>
      </w:r>
    </w:p>
    <w:tbl>
      <w:tblPr>
        <w:tblStyle w:val="TableGrid"/>
        <w:tblW w:type="dxa" w:w="10203"/>
        <w:jc w:val="center"/>
        <w:tblLayout w:type="fixed"/>
        <w:tblLook w:firstColumn="1" w:firstRow="1" w:lastColumn="0" w:lastRow="0" w:noHBand="0" w:noVBand="1" w:val="04A0"/>
      </w:tblPr>
      <w:tblGrid>
        <w:gridCol w:w="5102"/>
        <w:gridCol w:w="1020"/>
        <w:gridCol w:w="4081"/>
      </w:tblGrid>
      <w:tr>
        <w:tc>
          <w:tcPr>
            <w:tcW w:type="dxa" w:w="5102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Item</w:t>
            </w:r>
          </w:p>
        </w:tc>
        <w:tc>
          <w:tcPr>
            <w:tcW w:type="dxa" w:w="1020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Status</w:t>
            </w:r>
          </w:p>
        </w:tc>
        <w:tc>
          <w:tcPr>
            <w:tcW w:type="dxa" w:w="4081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Notes</w:t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Agree on what is included in the POC and document it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Explicitly list what is excluded (to prevent scope creep)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Document assumptions and responsibilities (customer vs. Red Hat)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Identify all participating teams (infra, network, security, dev)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Set a timeline with key milestone dates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</w:tbl>
    <w:p/>
    <w:p>
      <w:pPr>
        <w:pStyle w:val="Heading2"/>
      </w:pPr>
      <w:r>
        <w:t>Exit criteria</w:t>
      </w:r>
    </w:p>
    <w:p>
      <w:r>
        <w:t>Agree on pass/fail criteria before installation begins:</w:t>
      </w:r>
    </w:p>
    <w:tbl>
      <w:tblPr>
        <w:tblStyle w:val="TableGrid"/>
        <w:tblW w:type="dxa" w:w="10203"/>
        <w:jc w:val="center"/>
        <w:tblLayout w:type="fixed"/>
        <w:tblLook w:firstColumn="1" w:firstRow="1" w:lastColumn="0" w:lastRow="0" w:noHBand="0" w:noVBand="1" w:val="04A0"/>
      </w:tblPr>
      <w:tblGrid>
        <w:gridCol w:w="1417"/>
        <w:gridCol w:w="5102"/>
        <w:gridCol w:w="850"/>
        <w:gridCol w:w="2834"/>
      </w:tblGrid>
      <w:tr>
        <w:tc>
          <w:tcPr>
            <w:tcW w:type="dxa" w:w="1417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Area</w:t>
            </w:r>
          </w:p>
        </w:tc>
        <w:tc>
          <w:tcPr>
            <w:tcW w:type="dxa" w:w="5102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How we measure success</w:t>
            </w:r>
          </w:p>
        </w:tc>
        <w:tc>
          <w:tcPr>
            <w:tcW w:type="dxa" w:w="850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Status</w:t>
            </w:r>
          </w:p>
        </w:tc>
        <w:tc>
          <w:tcPr>
            <w:tcW w:type="dxa" w:w="2834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Notes</w:t>
            </w:r>
          </w:p>
        </w:tc>
      </w:tr>
      <w:tr>
        <w:tc>
          <w:tcPr>
            <w:tcW w:type="dxa" w:w="1417"/>
          </w:tcPr>
          <w:p>
            <w:r>
              <w:rPr>
                <w:rFonts w:ascii="Red Hat Text" w:hAnsi="Red Hat Text"/>
                <w:color w:val="151515"/>
                <w:sz w:val="18"/>
              </w:rPr>
              <w:t>Installation</w:t>
            </w:r>
          </w:p>
        </w:tc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Cluster deployed, all nodes healthy</w:t>
            </w:r>
          </w:p>
        </w:tc>
        <w:tc>
          <w:tcPr>
            <w:tcW w:type="dxa" w:w="850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  <w:tc>
          <w:tcPr>
            <w:tcW w:type="dxa" w:w="2834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1417"/>
          </w:tcPr>
          <w:p>
            <w:r>
              <w:rPr>
                <w:rFonts w:ascii="Red Hat Text" w:hAnsi="Red Hat Text"/>
                <w:color w:val="151515"/>
                <w:sz w:val="18"/>
              </w:rPr>
              <w:t>Networking</w:t>
            </w:r>
          </w:p>
        </w:tc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Application traffic flows end-to-end</w:t>
            </w:r>
          </w:p>
        </w:tc>
        <w:tc>
          <w:tcPr>
            <w:tcW w:type="dxa" w:w="850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  <w:tc>
          <w:tcPr>
            <w:tcW w:type="dxa" w:w="2834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1417"/>
          </w:tcPr>
          <w:p>
            <w:r>
              <w:rPr>
                <w:rFonts w:ascii="Red Hat Text" w:hAnsi="Red Hat Text"/>
                <w:color w:val="151515"/>
                <w:sz w:val="18"/>
              </w:rPr>
              <w:t>Storage</w:t>
            </w:r>
          </w:p>
        </w:tc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Persistent volumes provision and bind on demand</w:t>
            </w:r>
          </w:p>
        </w:tc>
        <w:tc>
          <w:tcPr>
            <w:tcW w:type="dxa" w:w="850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  <w:tc>
          <w:tcPr>
            <w:tcW w:type="dxa" w:w="2834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1417"/>
          </w:tcPr>
          <w:p>
            <w:r>
              <w:rPr>
                <w:rFonts w:ascii="Red Hat Text" w:hAnsi="Red Hat Text"/>
                <w:color w:val="151515"/>
                <w:sz w:val="18"/>
              </w:rPr>
              <w:t>Security</w:t>
            </w:r>
          </w:p>
        </w:tc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Users authenticate and RBAC enforces permissions</w:t>
            </w:r>
          </w:p>
        </w:tc>
        <w:tc>
          <w:tcPr>
            <w:tcW w:type="dxa" w:w="850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  <w:tc>
          <w:tcPr>
            <w:tcW w:type="dxa" w:w="2834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1417"/>
          </w:tcPr>
          <w:p>
            <w:r>
              <w:rPr>
                <w:rFonts w:ascii="Red Hat Text" w:hAnsi="Red Hat Text"/>
                <w:color w:val="151515"/>
                <w:sz w:val="18"/>
              </w:rPr>
              <w:t>Applications</w:t>
            </w:r>
          </w:p>
        </w:tc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Sample and customer workloads run correctly</w:t>
            </w:r>
          </w:p>
        </w:tc>
        <w:tc>
          <w:tcPr>
            <w:tcW w:type="dxa" w:w="850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  <w:tc>
          <w:tcPr>
            <w:tcW w:type="dxa" w:w="2834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1417"/>
          </w:tcPr>
          <w:p>
            <w:r>
              <w:rPr>
                <w:rFonts w:ascii="Red Hat Text" w:hAnsi="Red Hat Text"/>
                <w:color w:val="151515"/>
                <w:sz w:val="18"/>
              </w:rPr>
              <w:t>Resilience</w:t>
            </w:r>
          </w:p>
        </w:tc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Cluster recovers from simulated failures</w:t>
            </w:r>
          </w:p>
        </w:tc>
        <w:tc>
          <w:tcPr>
            <w:tcW w:type="dxa" w:w="850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  <w:tc>
          <w:tcPr>
            <w:tcW w:type="dxa" w:w="2834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1417"/>
          </w:tcPr>
          <w:p>
            <w:r>
              <w:rPr>
                <w:rFonts w:ascii="Red Hat Text" w:hAnsi="Red Hat Text"/>
                <w:color w:val="151515"/>
                <w:sz w:val="18"/>
              </w:rPr>
              <w:t>Operations</w:t>
            </w:r>
          </w:p>
        </w:tc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Monitoring, logging, and backups function</w:t>
            </w:r>
          </w:p>
        </w:tc>
        <w:tc>
          <w:tcPr>
            <w:tcW w:type="dxa" w:w="850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  <w:tc>
          <w:tcPr>
            <w:tcW w:type="dxa" w:w="2834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1417"/>
          </w:tcPr>
          <w:p>
            <w:r>
              <w:rPr>
                <w:rFonts w:ascii="Red Hat Text" w:hAnsi="Red Hat Text"/>
                <w:color w:val="151515"/>
                <w:sz w:val="18"/>
              </w:rPr>
              <w:t>Migration</w:t>
            </w:r>
          </w:p>
        </w:tc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VMs migrated to OpenShift (if applicable)</w:t>
            </w:r>
          </w:p>
        </w:tc>
        <w:tc>
          <w:tcPr>
            <w:tcW w:type="dxa" w:w="850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  <w:tc>
          <w:tcPr>
            <w:tcW w:type="dxa" w:w="2834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</w:tbl>
    <w:p/>
    <w:p>
      <w:pPr>
        <w:pStyle w:val="Heading1"/>
      </w:pPr>
      <w:r>
        <w:t>Phase 2: Prerequisites</w:t>
      </w:r>
    </w:p>
    <w:p>
      <w:r>
        <w:t>Complete these before scheduling the installation.</w:t>
      </w:r>
    </w:p>
    <w:p>
      <w:pPr>
        <w:pStyle w:val="Heading2"/>
      </w:pPr>
      <w:r>
        <w:t>Infrastructure and compute</w:t>
      </w:r>
    </w:p>
    <w:tbl>
      <w:tblPr>
        <w:tblStyle w:val="TableGrid"/>
        <w:tblW w:type="dxa" w:w="10203"/>
        <w:jc w:val="center"/>
        <w:tblLayout w:type="fixed"/>
        <w:tblLook w:firstColumn="1" w:firstRow="1" w:lastColumn="0" w:lastRow="0" w:noHBand="0" w:noVBand="1" w:val="04A0"/>
      </w:tblPr>
      <w:tblGrid>
        <w:gridCol w:w="5102"/>
        <w:gridCol w:w="1020"/>
        <w:gridCol w:w="4081"/>
      </w:tblGrid>
      <w:tr>
        <w:tc>
          <w:tcPr>
            <w:tcW w:type="dxa" w:w="5102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Item</w:t>
            </w:r>
          </w:p>
        </w:tc>
        <w:tc>
          <w:tcPr>
            <w:tcW w:type="dxa" w:w="1020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Status</w:t>
            </w:r>
          </w:p>
        </w:tc>
        <w:tc>
          <w:tcPr>
            <w:tcW w:type="dxa" w:w="4081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Notes</w:t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Red Hat account created and subscriptions allocated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Compute nodes provisioned and meet minimum specs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Management access to nodes confirmed (BMC, vCenter, cloud API)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Firmware/BIOS settings validated (UEFI, virtualization extensions)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Node details collected (MAC addresses, BMC IPs, disk hints, NIC names)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</w:tbl>
    <w:p/>
    <w:p>
      <w:pPr>
        <w:pStyle w:val="Heading2"/>
      </w:pPr>
      <w:r>
        <w:t>Networking</w:t>
      </w:r>
    </w:p>
    <w:tbl>
      <w:tblPr>
        <w:tblStyle w:val="TableGrid"/>
        <w:tblW w:type="dxa" w:w="10203"/>
        <w:jc w:val="center"/>
        <w:tblLayout w:type="fixed"/>
        <w:tblLook w:firstColumn="1" w:firstRow="1" w:lastColumn="0" w:lastRow="0" w:noHBand="0" w:noVBand="1" w:val="04A0"/>
      </w:tblPr>
      <w:tblGrid>
        <w:gridCol w:w="5102"/>
        <w:gridCol w:w="1020"/>
        <w:gridCol w:w="4081"/>
      </w:tblGrid>
      <w:tr>
        <w:tc>
          <w:tcPr>
            <w:tcW w:type="dxa" w:w="5102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Item</w:t>
            </w:r>
          </w:p>
        </w:tc>
        <w:tc>
          <w:tcPr>
            <w:tcW w:type="dxa" w:w="1020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Status</w:t>
            </w:r>
          </w:p>
        </w:tc>
        <w:tc>
          <w:tcPr>
            <w:tcW w:type="dxa" w:w="4081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Notes</w:t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Network subnets allocated for cluster traffic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Firewall rules opened (API, ingress, registry access)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Outbound connectivity to Red Hat registries and services verified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HTTP proxy configured and CA bundle prepared (if proxied environment)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NTP accessible from all nodes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API VIP and Ingress VIP assigned (bare metal) or user-managed load balancer configured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</w:tbl>
    <w:p/>
    <w:p>
      <w:pPr>
        <w:pStyle w:val="Heading2"/>
      </w:pPr>
      <w:r>
        <w:t>DNS</w:t>
      </w:r>
    </w:p>
    <w:tbl>
      <w:tblPr>
        <w:tblStyle w:val="TableGrid"/>
        <w:tblW w:type="dxa" w:w="10203"/>
        <w:jc w:val="center"/>
        <w:tblLayout w:type="fixed"/>
        <w:tblLook w:firstColumn="1" w:firstRow="1" w:lastColumn="0" w:lastRow="0" w:noHBand="0" w:noVBand="1" w:val="04A0"/>
      </w:tblPr>
      <w:tblGrid>
        <w:gridCol w:w="5102"/>
        <w:gridCol w:w="1020"/>
        <w:gridCol w:w="4081"/>
      </w:tblGrid>
      <w:tr>
        <w:tc>
          <w:tcPr>
            <w:tcW w:type="dxa" w:w="5102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Item</w:t>
            </w:r>
          </w:p>
        </w:tc>
        <w:tc>
          <w:tcPr>
            <w:tcW w:type="dxa" w:w="1020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Status</w:t>
            </w:r>
          </w:p>
        </w:tc>
        <w:tc>
          <w:tcPr>
            <w:tcW w:type="dxa" w:w="4081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Notes</w:t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api.&lt;cluster&gt;.&lt;domain&gt; DNS record resolves correctly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api-int.&lt;cluster&gt;.&lt;domain&gt; DNS record resolves correctly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*.apps.&lt;cluster&gt;.&lt;domain&gt; wildcard DNS resolves correctly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Reverse DNS entries (PTR) configured for node IPs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</w:tbl>
    <w:p/>
    <w:p>
      <w:pPr>
        <w:pStyle w:val="Heading2"/>
      </w:pPr>
      <w:r>
        <w:t>Storage</w:t>
      </w:r>
    </w:p>
    <w:tbl>
      <w:tblPr>
        <w:tblStyle w:val="TableGrid"/>
        <w:tblW w:type="dxa" w:w="10203"/>
        <w:jc w:val="center"/>
        <w:tblLayout w:type="fixed"/>
        <w:tblLook w:firstColumn="1" w:firstRow="1" w:lastColumn="0" w:lastRow="0" w:noHBand="0" w:noVBand="1" w:val="04A0"/>
      </w:tblPr>
      <w:tblGrid>
        <w:gridCol w:w="5102"/>
        <w:gridCol w:w="1020"/>
        <w:gridCol w:w="4081"/>
      </w:tblGrid>
      <w:tr>
        <w:tc>
          <w:tcPr>
            <w:tcW w:type="dxa" w:w="5102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Item</w:t>
            </w:r>
          </w:p>
        </w:tc>
        <w:tc>
          <w:tcPr>
            <w:tcW w:type="dxa" w:w="1020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Status</w:t>
            </w:r>
          </w:p>
        </w:tc>
        <w:tc>
          <w:tcPr>
            <w:tcW w:type="dxa" w:w="4081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Notes</w:t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Persistent storage backend provisioned and accessible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Storage connectivity verified from node networks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</w:tbl>
    <w:p/>
    <w:p>
      <w:pPr>
        <w:pStyle w:val="Heading2"/>
      </w:pPr>
      <w:r>
        <w:t>Installation host</w:t>
      </w:r>
    </w:p>
    <w:tbl>
      <w:tblPr>
        <w:tblStyle w:val="TableGrid"/>
        <w:tblW w:type="dxa" w:w="10203"/>
        <w:jc w:val="center"/>
        <w:tblLayout w:type="fixed"/>
        <w:tblLook w:firstColumn="1" w:firstRow="1" w:lastColumn="0" w:lastRow="0" w:noHBand="0" w:noVBand="1" w:val="04A0"/>
      </w:tblPr>
      <w:tblGrid>
        <w:gridCol w:w="5102"/>
        <w:gridCol w:w="1020"/>
        <w:gridCol w:w="4081"/>
      </w:tblGrid>
      <w:tr>
        <w:tc>
          <w:tcPr>
            <w:tcW w:type="dxa" w:w="5102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Item</w:t>
            </w:r>
          </w:p>
        </w:tc>
        <w:tc>
          <w:tcPr>
            <w:tcW w:type="dxa" w:w="1020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Status</w:t>
            </w:r>
          </w:p>
        </w:tc>
        <w:tc>
          <w:tcPr>
            <w:tcW w:type="dxa" w:w="4081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Notes</w:t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oc CLI installed on installation host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Pull secret downloaded from Red Hat console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SSH key pair generated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Disconnected: registry set up (oc-mirror or pull-through cache)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Disconnected: install-config imageContentSources and OLM catalogs pointed at the registry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</w:tbl>
    <w:p/>
    <w:p>
      <w:pPr>
        <w:pStyle w:val="Heading2"/>
      </w:pPr>
      <w:r>
        <w:t>VM migration prerequisites</w:t>
      </w:r>
    </w:p>
    <w:tbl>
      <w:tblPr>
        <w:tblStyle w:val="TableGrid"/>
        <w:tblW w:type="dxa" w:w="10203"/>
        <w:jc w:val="center"/>
        <w:tblLayout w:type="fixed"/>
        <w:tblLook w:firstColumn="1" w:firstRow="1" w:lastColumn="0" w:lastRow="0" w:noHBand="0" w:noVBand="1" w:val="04A0"/>
      </w:tblPr>
      <w:tblGrid>
        <w:gridCol w:w="5102"/>
        <w:gridCol w:w="1020"/>
        <w:gridCol w:w="4081"/>
      </w:tblGrid>
      <w:tr>
        <w:tc>
          <w:tcPr>
            <w:tcW w:type="dxa" w:w="5102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Item</w:t>
            </w:r>
          </w:p>
        </w:tc>
        <w:tc>
          <w:tcPr>
            <w:tcW w:type="dxa" w:w="1020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Status</w:t>
            </w:r>
          </w:p>
        </w:tc>
        <w:tc>
          <w:tcPr>
            <w:tcW w:type="dxa" w:w="4081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Notes</w:t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VDDK access requested from Broadcom (support ticket required)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VDDK archive downloaded and version matched to vSphere version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</w:tbl>
    <w:p/>
    <w:p>
      <w:pPr>
        <w:pStyle w:val="Heading1"/>
      </w:pPr>
      <w:r>
        <w:t>Phase 3: Installation</w:t>
      </w:r>
    </w:p>
    <w:tbl>
      <w:tblPr>
        <w:tblStyle w:val="TableGrid"/>
        <w:tblW w:type="dxa" w:w="10203"/>
        <w:jc w:val="center"/>
        <w:tblLayout w:type="fixed"/>
        <w:tblLook w:firstColumn="1" w:firstRow="1" w:lastColumn="0" w:lastRow="0" w:noHBand="0" w:noVBand="1" w:val="04A0"/>
      </w:tblPr>
      <w:tblGrid>
        <w:gridCol w:w="5102"/>
        <w:gridCol w:w="1020"/>
        <w:gridCol w:w="4081"/>
      </w:tblGrid>
      <w:tr>
        <w:tc>
          <w:tcPr>
            <w:tcW w:type="dxa" w:w="5102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Item</w:t>
            </w:r>
          </w:p>
        </w:tc>
        <w:tc>
          <w:tcPr>
            <w:tcW w:type="dxa" w:w="1020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Status</w:t>
            </w:r>
          </w:p>
        </w:tc>
        <w:tc>
          <w:tcPr>
            <w:tcW w:type="dxa" w:w="4081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Notes</w:t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Installation method selected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Cluster installation completed successfully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All nodes showing Ready status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All ClusterOperators Available=True, Degraded=False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Cluster version matches target release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Web console accessible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kubeadmin credentials stored securely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</w:tbl>
    <w:p/>
    <w:p>
      <w:pPr>
        <w:pStyle w:val="Heading1"/>
      </w:pPr>
      <w:r>
        <w:t>Phase 4: Post-installation (required)</w:t>
      </w:r>
    </w:p>
    <w:p>
      <w:r>
        <w:t>These must be completed before deploying workloads.</w:t>
      </w:r>
    </w:p>
    <w:tbl>
      <w:tblPr>
        <w:tblStyle w:val="TableGrid"/>
        <w:tblW w:type="dxa" w:w="10203"/>
        <w:jc w:val="center"/>
        <w:tblLayout w:type="fixed"/>
        <w:tblLook w:firstColumn="1" w:firstRow="1" w:lastColumn="0" w:lastRow="0" w:noHBand="0" w:noVBand="1" w:val="04A0"/>
      </w:tblPr>
      <w:tblGrid>
        <w:gridCol w:w="5102"/>
        <w:gridCol w:w="1020"/>
        <w:gridCol w:w="4081"/>
      </w:tblGrid>
      <w:tr>
        <w:tc>
          <w:tcPr>
            <w:tcW w:type="dxa" w:w="5102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Item</w:t>
            </w:r>
          </w:p>
        </w:tc>
        <w:tc>
          <w:tcPr>
            <w:tcW w:type="dxa" w:w="1020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Status</w:t>
            </w:r>
          </w:p>
        </w:tc>
        <w:tc>
          <w:tcPr>
            <w:tcW w:type="dxa" w:w="4081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Notes</w:t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NMState operator installed (required for network configuration)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Storage driver installed and StorageClasses created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Default StorageClass set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RWO PVC created, bound, and data write/read verified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RWX PVC created and bound successfully (if applicable)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Internal image registry configured with persistent storage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</w:tbl>
    <w:p/>
    <w:p>
      <w:pPr>
        <w:pStyle w:val="Heading1"/>
      </w:pPr>
      <w:r>
        <w:t>Phase 5: Post-installation (optional)</w:t>
      </w:r>
    </w:p>
    <w:p>
      <w:r>
        <w:t>Install based on your POC goals. Each subsection is independent.</w:t>
      </w:r>
    </w:p>
    <w:p>
      <w:pPr>
        <w:pStyle w:val="Heading2"/>
      </w:pPr>
      <w:r>
        <w:t>Networking</w:t>
      </w:r>
    </w:p>
    <w:tbl>
      <w:tblPr>
        <w:tblStyle w:val="TableGrid"/>
        <w:tblW w:type="dxa" w:w="10203"/>
        <w:jc w:val="center"/>
        <w:tblLayout w:type="fixed"/>
        <w:tblLook w:firstColumn="1" w:firstRow="1" w:lastColumn="0" w:lastRow="0" w:noHBand="0" w:noVBand="1" w:val="04A0"/>
      </w:tblPr>
      <w:tblGrid>
        <w:gridCol w:w="5102"/>
        <w:gridCol w:w="1020"/>
        <w:gridCol w:w="4081"/>
      </w:tblGrid>
      <w:tr>
        <w:tc>
          <w:tcPr>
            <w:tcW w:type="dxa" w:w="5102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Item</w:t>
            </w:r>
          </w:p>
        </w:tc>
        <w:tc>
          <w:tcPr>
            <w:tcW w:type="dxa" w:w="1020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Status</w:t>
            </w:r>
          </w:p>
        </w:tc>
        <w:tc>
          <w:tcPr>
            <w:tcW w:type="dxa" w:w="4081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Notes</w:t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Additional network configuration applied (bridges, secondary NICs)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Ingress/Route exposes an application externally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DNS resolution works from within pods (internal and external)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</w:tbl>
    <w:p/>
    <w:p>
      <w:pPr>
        <w:pStyle w:val="Heading2"/>
      </w:pPr>
      <w:r>
        <w:t>Workload availability</w:t>
      </w:r>
    </w:p>
    <w:tbl>
      <w:tblPr>
        <w:tblStyle w:val="TableGrid"/>
        <w:tblW w:type="dxa" w:w="10203"/>
        <w:jc w:val="center"/>
        <w:tblLayout w:type="fixed"/>
        <w:tblLook w:firstColumn="1" w:firstRow="1" w:lastColumn="0" w:lastRow="0" w:noHBand="0" w:noVBand="1" w:val="04A0"/>
      </w:tblPr>
      <w:tblGrid>
        <w:gridCol w:w="5102"/>
        <w:gridCol w:w="1020"/>
        <w:gridCol w:w="4081"/>
      </w:tblGrid>
      <w:tr>
        <w:tc>
          <w:tcPr>
            <w:tcW w:type="dxa" w:w="5102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Item</w:t>
            </w:r>
          </w:p>
        </w:tc>
        <w:tc>
          <w:tcPr>
            <w:tcW w:type="dxa" w:w="1020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Status</w:t>
            </w:r>
          </w:p>
        </w:tc>
        <w:tc>
          <w:tcPr>
            <w:tcW w:type="dxa" w:w="4081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Notes</w:t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Node Health Check operator installed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NodeHealthCheck CRs created (workers and control plane)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Self Node Remediation operator installed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Kube Descheduler operator installed and configured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</w:tbl>
    <w:p/>
    <w:p>
      <w:pPr>
        <w:pStyle w:val="Heading2"/>
      </w:pPr>
      <w:r>
        <w:t>Virtualization</w:t>
      </w:r>
    </w:p>
    <w:tbl>
      <w:tblPr>
        <w:tblStyle w:val="TableGrid"/>
        <w:tblW w:type="dxa" w:w="10203"/>
        <w:jc w:val="center"/>
        <w:tblLayout w:type="fixed"/>
        <w:tblLook w:firstColumn="1" w:firstRow="1" w:lastColumn="0" w:lastRow="0" w:noHBand="0" w:noVBand="1" w:val="04A0"/>
      </w:tblPr>
      <w:tblGrid>
        <w:gridCol w:w="5102"/>
        <w:gridCol w:w="1020"/>
        <w:gridCol w:w="4081"/>
      </w:tblGrid>
      <w:tr>
        <w:tc>
          <w:tcPr>
            <w:tcW w:type="dxa" w:w="5102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Item</w:t>
            </w:r>
          </w:p>
        </w:tc>
        <w:tc>
          <w:tcPr>
            <w:tcW w:type="dxa" w:w="1020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Status</w:t>
            </w:r>
          </w:p>
        </w:tc>
        <w:tc>
          <w:tcPr>
            <w:tcW w:type="dxa" w:w="4081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Notes</w:t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OpenShift Virtualization operator installed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HyperConverged CR created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Virtualization StorageClass annotated as default virt class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Live migration network configured (if applicable)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</w:tbl>
    <w:p/>
    <w:p>
      <w:pPr>
        <w:pStyle w:val="Heading2"/>
      </w:pPr>
      <w:r>
        <w:t>Migration</w:t>
      </w:r>
    </w:p>
    <w:tbl>
      <w:tblPr>
        <w:tblStyle w:val="TableGrid"/>
        <w:tblW w:type="dxa" w:w="10203"/>
        <w:jc w:val="center"/>
        <w:tblLayout w:type="fixed"/>
        <w:tblLook w:firstColumn="1" w:firstRow="1" w:lastColumn="0" w:lastRow="0" w:noHBand="0" w:noVBand="1" w:val="04A0"/>
      </w:tblPr>
      <w:tblGrid>
        <w:gridCol w:w="5102"/>
        <w:gridCol w:w="1020"/>
        <w:gridCol w:w="4081"/>
      </w:tblGrid>
      <w:tr>
        <w:tc>
          <w:tcPr>
            <w:tcW w:type="dxa" w:w="5102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Item</w:t>
            </w:r>
          </w:p>
        </w:tc>
        <w:tc>
          <w:tcPr>
            <w:tcW w:type="dxa" w:w="1020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Status</w:t>
            </w:r>
          </w:p>
        </w:tc>
        <w:tc>
          <w:tcPr>
            <w:tcW w:type="dxa" w:w="4081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Notes</w:t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Migration Toolkit for Virtualization (MTV) operator installed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VDDK image built and pushed to registry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Source virtualization provider added and healthy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Network and storage mappings configured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</w:tbl>
    <w:p/>
    <w:p>
      <w:pPr>
        <w:pStyle w:val="Heading2"/>
      </w:pPr>
      <w:r>
        <w:t>Backup and restore</w:t>
      </w:r>
    </w:p>
    <w:tbl>
      <w:tblPr>
        <w:tblStyle w:val="TableGrid"/>
        <w:tblW w:type="dxa" w:w="10203"/>
        <w:jc w:val="center"/>
        <w:tblLayout w:type="fixed"/>
        <w:tblLook w:firstColumn="1" w:firstRow="1" w:lastColumn="0" w:lastRow="0" w:noHBand="0" w:noVBand="1" w:val="04A0"/>
      </w:tblPr>
      <w:tblGrid>
        <w:gridCol w:w="5102"/>
        <w:gridCol w:w="1020"/>
        <w:gridCol w:w="4081"/>
      </w:tblGrid>
      <w:tr>
        <w:tc>
          <w:tcPr>
            <w:tcW w:type="dxa" w:w="5102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Item</w:t>
            </w:r>
          </w:p>
        </w:tc>
        <w:tc>
          <w:tcPr>
            <w:tcW w:type="dxa" w:w="1020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Status</w:t>
            </w:r>
          </w:p>
        </w:tc>
        <w:tc>
          <w:tcPr>
            <w:tcW w:type="dxa" w:w="4081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Notes</w:t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OADP (OpenShift API for Data Protection) operator installed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BackupStorageLocation CR created and showing Available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DataProtectionApplication CR created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</w:tbl>
    <w:p/>
    <w:p>
      <w:pPr>
        <w:pStyle w:val="Heading2"/>
      </w:pPr>
      <w:r>
        <w:t>Observability</w:t>
      </w:r>
    </w:p>
    <w:tbl>
      <w:tblPr>
        <w:tblStyle w:val="TableGrid"/>
        <w:tblW w:type="dxa" w:w="10203"/>
        <w:jc w:val="center"/>
        <w:tblLayout w:type="fixed"/>
        <w:tblLook w:firstColumn="1" w:firstRow="1" w:lastColumn="0" w:lastRow="0" w:noHBand="0" w:noVBand="1" w:val="04A0"/>
      </w:tblPr>
      <w:tblGrid>
        <w:gridCol w:w="5102"/>
        <w:gridCol w:w="1020"/>
        <w:gridCol w:w="4081"/>
      </w:tblGrid>
      <w:tr>
        <w:tc>
          <w:tcPr>
            <w:tcW w:type="dxa" w:w="5102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Item</w:t>
            </w:r>
          </w:p>
        </w:tc>
        <w:tc>
          <w:tcPr>
            <w:tcW w:type="dxa" w:w="1020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Status</w:t>
            </w:r>
          </w:p>
        </w:tc>
        <w:tc>
          <w:tcPr>
            <w:tcW w:type="dxa" w:w="4081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Notes</w:t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Logging operators installed (Loki Operator, OpenShift Logging)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LokiStack deployed with object storage backend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Log forwarding configured (ClusterLogForwarder)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Network observability operator enabled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Multi-cluster observability configured (if multi-cluster)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</w:tbl>
    <w:p/>
    <w:p>
      <w:pPr>
        <w:pStyle w:val="Heading2"/>
      </w:pPr>
      <w:r>
        <w:t>GitOps</w:t>
      </w:r>
    </w:p>
    <w:tbl>
      <w:tblPr>
        <w:tblStyle w:val="TableGrid"/>
        <w:tblW w:type="dxa" w:w="10203"/>
        <w:jc w:val="center"/>
        <w:tblLayout w:type="fixed"/>
        <w:tblLook w:firstColumn="1" w:firstRow="1" w:lastColumn="0" w:lastRow="0" w:noHBand="0" w:noVBand="1" w:val="04A0"/>
      </w:tblPr>
      <w:tblGrid>
        <w:gridCol w:w="5102"/>
        <w:gridCol w:w="1020"/>
        <w:gridCol w:w="4081"/>
      </w:tblGrid>
      <w:tr>
        <w:tc>
          <w:tcPr>
            <w:tcW w:type="dxa" w:w="5102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Item</w:t>
            </w:r>
          </w:p>
        </w:tc>
        <w:tc>
          <w:tcPr>
            <w:tcW w:type="dxa" w:w="1020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Status</w:t>
            </w:r>
          </w:p>
        </w:tc>
        <w:tc>
          <w:tcPr>
            <w:tcW w:type="dxa" w:w="4081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Notes</w:t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OpenShift GitOps operator installed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ArgoCD instance accessible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Sample application deployed via GitOps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</w:tbl>
    <w:p/>
    <w:p>
      <w:pPr>
        <w:pStyle w:val="Heading2"/>
      </w:pPr>
      <w:r>
        <w:t>Service Mesh (out of baseline)</w:t>
      </w:r>
    </w:p>
    <w:p>
      <w:r>
        <w:t>Skip unless mesh (mTLS, traffic splitting) is explicitly in POC scope.</w:t>
      </w:r>
    </w:p>
    <w:tbl>
      <w:tblPr>
        <w:tblStyle w:val="TableGrid"/>
        <w:tblW w:type="dxa" w:w="10203"/>
        <w:jc w:val="center"/>
        <w:tblLayout w:type="fixed"/>
        <w:tblLook w:firstColumn="1" w:firstRow="1" w:lastColumn="0" w:lastRow="0" w:noHBand="0" w:noVBand="1" w:val="04A0"/>
      </w:tblPr>
      <w:tblGrid>
        <w:gridCol w:w="5102"/>
        <w:gridCol w:w="1020"/>
        <w:gridCol w:w="4081"/>
      </w:tblGrid>
      <w:tr>
        <w:tc>
          <w:tcPr>
            <w:tcW w:type="dxa" w:w="5102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Item</w:t>
            </w:r>
          </w:p>
        </w:tc>
        <w:tc>
          <w:tcPr>
            <w:tcW w:type="dxa" w:w="1020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Status</w:t>
            </w:r>
          </w:p>
        </w:tc>
        <w:tc>
          <w:tcPr>
            <w:tcW w:type="dxa" w:w="4081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Notes</w:t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OpenShift Service Mesh 3.x installed (Istio ambient)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Bookinfo (or equivalent) deployed and mTLS verified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</w:tbl>
    <w:p/>
    <w:p>
      <w:pPr>
        <w:pStyle w:val="Heading2"/>
      </w:pPr>
      <w:r>
        <w:t>Security and access</w:t>
      </w:r>
    </w:p>
    <w:tbl>
      <w:tblPr>
        <w:tblStyle w:val="TableGrid"/>
        <w:tblW w:type="dxa" w:w="10203"/>
        <w:jc w:val="center"/>
        <w:tblLayout w:type="fixed"/>
        <w:tblLook w:firstColumn="1" w:firstRow="1" w:lastColumn="0" w:lastRow="0" w:noHBand="0" w:noVBand="1" w:val="04A0"/>
      </w:tblPr>
      <w:tblGrid>
        <w:gridCol w:w="5102"/>
        <w:gridCol w:w="1020"/>
        <w:gridCol w:w="4081"/>
      </w:tblGrid>
      <w:tr>
        <w:tc>
          <w:tcPr>
            <w:tcW w:type="dxa" w:w="5102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Item</w:t>
            </w:r>
          </w:p>
        </w:tc>
        <w:tc>
          <w:tcPr>
            <w:tcW w:type="dxa" w:w="1020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Status</w:t>
            </w:r>
          </w:p>
        </w:tc>
        <w:tc>
          <w:tcPr>
            <w:tcW w:type="dxa" w:w="4081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Notes</w:t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Identity provider configured (LDAP, OIDC, etc.) — before demo day; keep kubeadmin until an IdP user has cluster-admin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RBAC groups mapped correctly (members get expected roles)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kubeadmin secret removed after IdP verification (if desired)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Non-production banner applied to the console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</w:tbl>
    <w:p/>
    <w:p>
      <w:pPr>
        <w:pStyle w:val="Heading1"/>
      </w:pPr>
      <w:r>
        <w:t>Phase 6: VM migration</w:t>
      </w:r>
    </w:p>
    <w:p>
      <w:r>
        <w:t>Validate that virtual machines can be migrated from an existing virtualization platform to OpenShift Virtualization.</w:t>
      </w:r>
    </w:p>
    <w:tbl>
      <w:tblPr>
        <w:tblStyle w:val="TableGrid"/>
        <w:tblW w:type="dxa" w:w="10203"/>
        <w:jc w:val="center"/>
        <w:tblLayout w:type="fixed"/>
        <w:tblLook w:firstColumn="1" w:firstRow="1" w:lastColumn="0" w:lastRow="0" w:noHBand="0" w:noVBand="1" w:val="04A0"/>
      </w:tblPr>
      <w:tblGrid>
        <w:gridCol w:w="5102"/>
        <w:gridCol w:w="1020"/>
        <w:gridCol w:w="4081"/>
      </w:tblGrid>
      <w:tr>
        <w:tc>
          <w:tcPr>
            <w:tcW w:type="dxa" w:w="5102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Item</w:t>
            </w:r>
          </w:p>
        </w:tc>
        <w:tc>
          <w:tcPr>
            <w:tcW w:type="dxa" w:w="1020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Status</w:t>
            </w:r>
          </w:p>
        </w:tc>
        <w:tc>
          <w:tcPr>
            <w:tcW w:type="dxa" w:w="4081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Notes</w:t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Source virtualization environment accessible from OpenShift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Migration provider connection healthy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Target storage class selected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Target network mapping configured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VMs selected for migration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Cold migration executed — VM boots on OpenShift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Networking functional (IP, DNS, connectivity)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Storage attached and data intact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Applications inside the VM running correctly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Warm migration tested — cutover with minimal downtime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VM accessible via console and SSH post-migration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</w:tbl>
    <w:p/>
    <w:p>
      <w:pPr>
        <w:pStyle w:val="Heading1"/>
      </w:pPr>
      <w:r>
        <w:t>Phase 7: Workloads</w:t>
      </w:r>
    </w:p>
    <w:p>
      <w:r>
        <w:t>Deploy workloads to validate platform capabilities.</w:t>
      </w:r>
    </w:p>
    <w:p>
      <w:pPr>
        <w:pStyle w:val="Heading2"/>
      </w:pPr>
      <w:r>
        <w:t>Container workloads</w:t>
      </w:r>
    </w:p>
    <w:tbl>
      <w:tblPr>
        <w:tblStyle w:val="TableGrid"/>
        <w:tblW w:type="dxa" w:w="10203"/>
        <w:jc w:val="center"/>
        <w:tblLayout w:type="fixed"/>
        <w:tblLook w:firstColumn="1" w:firstRow="1" w:lastColumn="0" w:lastRow="0" w:noHBand="0" w:noVBand="1" w:val="04A0"/>
      </w:tblPr>
      <w:tblGrid>
        <w:gridCol w:w="5102"/>
        <w:gridCol w:w="1020"/>
        <w:gridCol w:w="4081"/>
      </w:tblGrid>
      <w:tr>
        <w:tc>
          <w:tcPr>
            <w:tcW w:type="dxa" w:w="5102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Item</w:t>
            </w:r>
          </w:p>
        </w:tc>
        <w:tc>
          <w:tcPr>
            <w:tcW w:type="dxa" w:w="1020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Status</w:t>
            </w:r>
          </w:p>
        </w:tc>
        <w:tc>
          <w:tcPr>
            <w:tcW w:type="dxa" w:w="4081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Notes</w:t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Basic container deployed and accessible via Route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Build from source — image built and app deploys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Stateful application — data persists across pod restarts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Multi-tier application — frontend and backend communicating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Event streaming workload deployed, e.g. Kafka (if applicable)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Customer application deployed (if provided)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</w:tbl>
    <w:p/>
    <w:p>
      <w:pPr>
        <w:pStyle w:val="Heading2"/>
      </w:pPr>
      <w:r>
        <w:t>Virtual machine workloads</w:t>
      </w:r>
    </w:p>
    <w:tbl>
      <w:tblPr>
        <w:tblStyle w:val="TableGrid"/>
        <w:tblW w:type="dxa" w:w="10203"/>
        <w:jc w:val="center"/>
        <w:tblLayout w:type="fixed"/>
        <w:tblLook w:firstColumn="1" w:firstRow="1" w:lastColumn="0" w:lastRow="0" w:noHBand="0" w:noVBand="1" w:val="04A0"/>
      </w:tblPr>
      <w:tblGrid>
        <w:gridCol w:w="5102"/>
        <w:gridCol w:w="1020"/>
        <w:gridCol w:w="4081"/>
      </w:tblGrid>
      <w:tr>
        <w:tc>
          <w:tcPr>
            <w:tcW w:type="dxa" w:w="5102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Item</w:t>
            </w:r>
          </w:p>
        </w:tc>
        <w:tc>
          <w:tcPr>
            <w:tcW w:type="dxa" w:w="1020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Status</w:t>
            </w:r>
          </w:p>
        </w:tc>
        <w:tc>
          <w:tcPr>
            <w:tcW w:type="dxa" w:w="4081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Notes</w:t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VM deployed from template — boots, SSH, storage functional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Live migration tested (move VM between nodes without downtime)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Snapshot and restore tested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</w:tbl>
    <w:p/>
    <w:p>
      <w:pPr>
        <w:pStyle w:val="Heading1"/>
      </w:pPr>
      <w:r>
        <w:t>Phase 8: Operational validation</w:t>
      </w:r>
    </w:p>
    <w:p>
      <w:r>
        <w:t>Demonstrate Day 2 operations and resilience.</w:t>
      </w:r>
    </w:p>
    <w:p>
      <w:pPr>
        <w:pStyle w:val="Heading2"/>
      </w:pPr>
      <w:r>
        <w:t>Failover and resilience</w:t>
      </w:r>
    </w:p>
    <w:tbl>
      <w:tblPr>
        <w:tblStyle w:val="TableGrid"/>
        <w:tblW w:type="dxa" w:w="10203"/>
        <w:jc w:val="center"/>
        <w:tblLayout w:type="fixed"/>
        <w:tblLook w:firstColumn="1" w:firstRow="1" w:lastColumn="0" w:lastRow="0" w:noHBand="0" w:noVBand="1" w:val="04A0"/>
      </w:tblPr>
      <w:tblGrid>
        <w:gridCol w:w="5102"/>
        <w:gridCol w:w="1020"/>
        <w:gridCol w:w="4081"/>
      </w:tblGrid>
      <w:tr>
        <w:tc>
          <w:tcPr>
            <w:tcW w:type="dxa" w:w="5102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Item</w:t>
            </w:r>
          </w:p>
        </w:tc>
        <w:tc>
          <w:tcPr>
            <w:tcW w:type="dxa" w:w="1020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Status</w:t>
            </w:r>
          </w:p>
        </w:tc>
        <w:tc>
          <w:tcPr>
            <w:tcW w:type="dxa" w:w="4081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Notes</w:t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Node failure simulated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VM restarted on healthy node within target time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Application recovered without manual intervention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Container pod rescheduled to healthy node after failure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Service remained available during failover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</w:tbl>
    <w:p/>
    <w:p>
      <w:pPr>
        <w:pStyle w:val="Heading2"/>
      </w:pPr>
      <w:r>
        <w:t>Backup and restore</w:t>
      </w:r>
    </w:p>
    <w:tbl>
      <w:tblPr>
        <w:tblStyle w:val="TableGrid"/>
        <w:tblW w:type="dxa" w:w="10203"/>
        <w:jc w:val="center"/>
        <w:tblLayout w:type="fixed"/>
        <w:tblLook w:firstColumn="1" w:firstRow="1" w:lastColumn="0" w:lastRow="0" w:noHBand="0" w:noVBand="1" w:val="04A0"/>
      </w:tblPr>
      <w:tblGrid>
        <w:gridCol w:w="5102"/>
        <w:gridCol w:w="1020"/>
        <w:gridCol w:w="4081"/>
      </w:tblGrid>
      <w:tr>
        <w:tc>
          <w:tcPr>
            <w:tcW w:type="dxa" w:w="5102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Item</w:t>
            </w:r>
          </w:p>
        </w:tc>
        <w:tc>
          <w:tcPr>
            <w:tcW w:type="dxa" w:w="1020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Status</w:t>
            </w:r>
          </w:p>
        </w:tc>
        <w:tc>
          <w:tcPr>
            <w:tcW w:type="dxa" w:w="4081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Notes</w:t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Application or VM backup completed successfully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Restore to same or different namespace validated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Data integrity confirmed after restore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</w:tbl>
    <w:p/>
    <w:p>
      <w:pPr>
        <w:pStyle w:val="Heading2"/>
      </w:pPr>
      <w:r>
        <w:t>Cluster lifecycle</w:t>
      </w:r>
    </w:p>
    <w:tbl>
      <w:tblPr>
        <w:tblStyle w:val="TableGrid"/>
        <w:tblW w:type="dxa" w:w="10203"/>
        <w:jc w:val="center"/>
        <w:tblLayout w:type="fixed"/>
        <w:tblLook w:firstColumn="1" w:firstRow="1" w:lastColumn="0" w:lastRow="0" w:noHBand="0" w:noVBand="1" w:val="04A0"/>
      </w:tblPr>
      <w:tblGrid>
        <w:gridCol w:w="5102"/>
        <w:gridCol w:w="1020"/>
        <w:gridCol w:w="4081"/>
      </w:tblGrid>
      <w:tr>
        <w:tc>
          <w:tcPr>
            <w:tcW w:type="dxa" w:w="5102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Item</w:t>
            </w:r>
          </w:p>
        </w:tc>
        <w:tc>
          <w:tcPr>
            <w:tcW w:type="dxa" w:w="1020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Status</w:t>
            </w:r>
          </w:p>
        </w:tc>
        <w:tc>
          <w:tcPr>
            <w:tcW w:type="dxa" w:w="4081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Notes</w:t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SSH key rotation validated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Node-level configuration change applied via MachineConfig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Node drain and maintenance — cordon, drain, uncordon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Cluster upgrade tested (minor version or z-stream)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Workloads remained available during upgrade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Worker node added — new node joins cluster successfully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</w:tbl>
    <w:p/>
    <w:p>
      <w:pPr>
        <w:pStyle w:val="Heading2"/>
      </w:pPr>
      <w:r>
        <w:t>Monitoring and troubleshooting</w:t>
      </w:r>
    </w:p>
    <w:tbl>
      <w:tblPr>
        <w:tblStyle w:val="TableGrid"/>
        <w:tblW w:type="dxa" w:w="10203"/>
        <w:jc w:val="center"/>
        <w:tblLayout w:type="fixed"/>
        <w:tblLook w:firstColumn="1" w:firstRow="1" w:lastColumn="0" w:lastRow="0" w:noHBand="0" w:noVBand="1" w:val="04A0"/>
      </w:tblPr>
      <w:tblGrid>
        <w:gridCol w:w="5102"/>
        <w:gridCol w:w="1020"/>
        <w:gridCol w:w="4081"/>
      </w:tblGrid>
      <w:tr>
        <w:tc>
          <w:tcPr>
            <w:tcW w:type="dxa" w:w="5102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Item</w:t>
            </w:r>
          </w:p>
        </w:tc>
        <w:tc>
          <w:tcPr>
            <w:tcW w:type="dxa" w:w="1020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Status</w:t>
            </w:r>
          </w:p>
        </w:tc>
        <w:tc>
          <w:tcPr>
            <w:tcW w:type="dxa" w:w="4081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Notes</w:t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Monitoring dashboards accessible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Alerts fire correctly (trigger test alert, verify delivery)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must-gather diagnostic bundle collected and reviewed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Log collection validated (node, pod, operator logs)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Common failure modes understood by the customer team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</w:tbl>
    <w:p/>
    <w:p>
      <w:pPr>
        <w:pStyle w:val="Heading1"/>
      </w:pPr>
      <w:r>
        <w:t>Phase 9: Results summary</w:t>
      </w:r>
    </w:p>
    <w:p>
      <w:r>
        <w:t>Complete this table during the POC to prepare for the closeout meeting readout.</w:t>
      </w:r>
    </w:p>
    <w:tbl>
      <w:tblPr>
        <w:tblStyle w:val="TableGrid"/>
        <w:tblW w:type="dxa" w:w="10203"/>
        <w:jc w:val="center"/>
        <w:tblLayout w:type="fixed"/>
        <w:tblLook w:firstColumn="1" w:firstRow="1" w:lastColumn="0" w:lastRow="0" w:noHBand="0" w:noVBand="1" w:val="04A0"/>
      </w:tblPr>
      <w:tblGrid>
        <w:gridCol w:w="1417"/>
        <w:gridCol w:w="1984"/>
        <w:gridCol w:w="2551"/>
        <w:gridCol w:w="2551"/>
        <w:gridCol w:w="1700"/>
      </w:tblGrid>
      <w:tr>
        <w:tc>
          <w:tcPr>
            <w:tcW w:type="dxa" w:w="1417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Category</w:t>
            </w:r>
          </w:p>
        </w:tc>
        <w:tc>
          <w:tcPr>
            <w:tcW w:type="dxa" w:w="1984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What was tested</w:t>
            </w:r>
          </w:p>
        </w:tc>
        <w:tc>
          <w:tcPr>
            <w:tcW w:type="dxa" w:w="2551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Expected outcome</w:t>
            </w:r>
          </w:p>
        </w:tc>
        <w:tc>
          <w:tcPr>
            <w:tcW w:type="dxa" w:w="2551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Actual outcome</w:t>
            </w:r>
          </w:p>
        </w:tc>
        <w:tc>
          <w:tcPr>
            <w:tcW w:type="dxa" w:w="1700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Result</w:t>
            </w:r>
          </w:p>
        </w:tc>
      </w:tr>
      <w:tr>
        <w:tc>
          <w:tcPr>
            <w:tcW w:type="dxa" w:w="1417"/>
          </w:tcPr>
          <w:p>
            <w:r>
              <w:rPr>
                <w:rFonts w:ascii="Red Hat Text" w:hAnsi="Red Hat Text"/>
                <w:color w:val="151515"/>
                <w:sz w:val="18"/>
              </w:rPr>
              <w:t>Installation</w:t>
            </w:r>
          </w:p>
        </w:tc>
        <w:tc>
          <w:tcPr>
            <w:tcW w:type="dxa" w:w="1984"/>
          </w:tcPr>
          <w:p>
            <w:r>
              <w:rPr>
                <w:rFonts w:ascii="Red Hat Text" w:hAnsi="Red Hat Text"/>
                <w:color w:val="151515"/>
                <w:sz w:val="18"/>
              </w:rPr>
              <w:t>Cluster deploy</w:t>
            </w:r>
          </w:p>
        </w:tc>
        <w:tc>
          <w:tcPr>
            <w:tcW w:type="dxa" w:w="2551"/>
          </w:tcPr>
          <w:p>
            <w:r>
              <w:rPr>
                <w:rFonts w:ascii="Red Hat Text" w:hAnsi="Red Hat Text"/>
                <w:color w:val="151515"/>
                <w:sz w:val="18"/>
              </w:rPr>
              <w:t>All nodes healthy</w:t>
            </w:r>
          </w:p>
        </w:tc>
        <w:tc>
          <w:tcPr>
            <w:tcW w:type="dxa" w:w="255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1417"/>
          </w:tcPr>
          <w:p>
            <w:r>
              <w:rPr>
                <w:rFonts w:ascii="Red Hat Text" w:hAnsi="Red Hat Text"/>
                <w:color w:val="151515"/>
                <w:sz w:val="18"/>
              </w:rPr>
              <w:t>Networking</w:t>
            </w:r>
          </w:p>
        </w:tc>
        <w:tc>
          <w:tcPr>
            <w:tcW w:type="dxa" w:w="1984"/>
          </w:tcPr>
          <w:p>
            <w:r>
              <w:rPr>
                <w:rFonts w:ascii="Red Hat Text" w:hAnsi="Red Hat Text"/>
                <w:color w:val="151515"/>
                <w:sz w:val="18"/>
              </w:rPr>
              <w:t>Traffic flow</w:t>
            </w:r>
          </w:p>
        </w:tc>
        <w:tc>
          <w:tcPr>
            <w:tcW w:type="dxa" w:w="2551"/>
          </w:tcPr>
          <w:p>
            <w:r>
              <w:rPr>
                <w:rFonts w:ascii="Red Hat Text" w:hAnsi="Red Hat Text"/>
                <w:color w:val="151515"/>
                <w:sz w:val="18"/>
              </w:rPr>
              <w:t>Routes reachable</w:t>
            </w:r>
          </w:p>
        </w:tc>
        <w:tc>
          <w:tcPr>
            <w:tcW w:type="dxa" w:w="255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1417"/>
          </w:tcPr>
          <w:p>
            <w:r>
              <w:rPr>
                <w:rFonts w:ascii="Red Hat Text" w:hAnsi="Red Hat Text"/>
                <w:color w:val="151515"/>
                <w:sz w:val="18"/>
              </w:rPr>
              <w:t>Storage</w:t>
            </w:r>
          </w:p>
        </w:tc>
        <w:tc>
          <w:tcPr>
            <w:tcW w:type="dxa" w:w="1984"/>
          </w:tcPr>
          <w:p>
            <w:r>
              <w:rPr>
                <w:rFonts w:ascii="Red Hat Text" w:hAnsi="Red Hat Text"/>
                <w:color w:val="151515"/>
                <w:sz w:val="18"/>
              </w:rPr>
              <w:t>Volume lifecycle</w:t>
            </w:r>
          </w:p>
        </w:tc>
        <w:tc>
          <w:tcPr>
            <w:tcW w:type="dxa" w:w="2551"/>
          </w:tcPr>
          <w:p>
            <w:r>
              <w:rPr>
                <w:rFonts w:ascii="Red Hat Text" w:hAnsi="Red Hat Text"/>
                <w:color w:val="151515"/>
                <w:sz w:val="18"/>
              </w:rPr>
              <w:t>PVCs provision and bind</w:t>
            </w:r>
          </w:p>
        </w:tc>
        <w:tc>
          <w:tcPr>
            <w:tcW w:type="dxa" w:w="255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1417"/>
          </w:tcPr>
          <w:p>
            <w:r>
              <w:rPr>
                <w:rFonts w:ascii="Red Hat Text" w:hAnsi="Red Hat Text"/>
                <w:color w:val="151515"/>
                <w:sz w:val="18"/>
              </w:rPr>
              <w:t>Security</w:t>
            </w:r>
          </w:p>
        </w:tc>
        <w:tc>
          <w:tcPr>
            <w:tcW w:type="dxa" w:w="1984"/>
          </w:tcPr>
          <w:p>
            <w:r>
              <w:rPr>
                <w:rFonts w:ascii="Red Hat Text" w:hAnsi="Red Hat Text"/>
                <w:color w:val="151515"/>
                <w:sz w:val="18"/>
              </w:rPr>
              <w:t>Login and RBAC</w:t>
            </w:r>
          </w:p>
        </w:tc>
        <w:tc>
          <w:tcPr>
            <w:tcW w:type="dxa" w:w="2551"/>
          </w:tcPr>
          <w:p>
            <w:r>
              <w:rPr>
                <w:rFonts w:ascii="Red Hat Text" w:hAnsi="Red Hat Text"/>
                <w:color w:val="151515"/>
                <w:sz w:val="18"/>
              </w:rPr>
              <w:t>Auth and roles enforced</w:t>
            </w:r>
          </w:p>
        </w:tc>
        <w:tc>
          <w:tcPr>
            <w:tcW w:type="dxa" w:w="255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1417"/>
          </w:tcPr>
          <w:p>
            <w:r>
              <w:rPr>
                <w:rFonts w:ascii="Red Hat Text" w:hAnsi="Red Hat Text"/>
                <w:color w:val="151515"/>
                <w:sz w:val="18"/>
              </w:rPr>
              <w:t>Applications</w:t>
            </w:r>
          </w:p>
        </w:tc>
        <w:tc>
          <w:tcPr>
            <w:tcW w:type="dxa" w:w="1984"/>
          </w:tcPr>
          <w:p>
            <w:r>
              <w:rPr>
                <w:rFonts w:ascii="Red Hat Text" w:hAnsi="Red Hat Text"/>
                <w:color w:val="151515"/>
                <w:sz w:val="18"/>
              </w:rPr>
              <w:t>App deployment</w:t>
            </w:r>
          </w:p>
        </w:tc>
        <w:tc>
          <w:tcPr>
            <w:tcW w:type="dxa" w:w="2551"/>
          </w:tcPr>
          <w:p>
            <w:r>
              <w:rPr>
                <w:rFonts w:ascii="Red Hat Text" w:hAnsi="Red Hat Text"/>
                <w:color w:val="151515"/>
                <w:sz w:val="18"/>
              </w:rPr>
              <w:t>Workloads run end-to-end</w:t>
            </w:r>
          </w:p>
        </w:tc>
        <w:tc>
          <w:tcPr>
            <w:tcW w:type="dxa" w:w="255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1417"/>
          </w:tcPr>
          <w:p>
            <w:r>
              <w:rPr>
                <w:rFonts w:ascii="Red Hat Text" w:hAnsi="Red Hat Text"/>
                <w:color w:val="151515"/>
                <w:sz w:val="18"/>
              </w:rPr>
              <w:t>Resilience</w:t>
            </w:r>
          </w:p>
        </w:tc>
        <w:tc>
          <w:tcPr>
            <w:tcW w:type="dxa" w:w="1984"/>
          </w:tcPr>
          <w:p>
            <w:r>
              <w:rPr>
                <w:rFonts w:ascii="Red Hat Text" w:hAnsi="Red Hat Text"/>
                <w:color w:val="151515"/>
                <w:sz w:val="18"/>
              </w:rPr>
              <w:t>Node failure</w:t>
            </w:r>
          </w:p>
        </w:tc>
        <w:tc>
          <w:tcPr>
            <w:tcW w:type="dxa" w:w="2551"/>
          </w:tcPr>
          <w:p>
            <w:r>
              <w:rPr>
                <w:rFonts w:ascii="Red Hat Text" w:hAnsi="Red Hat Text"/>
                <w:color w:val="151515"/>
                <w:sz w:val="18"/>
              </w:rPr>
              <w:t>Workloads recover</w:t>
            </w:r>
          </w:p>
        </w:tc>
        <w:tc>
          <w:tcPr>
            <w:tcW w:type="dxa" w:w="255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1417"/>
          </w:tcPr>
          <w:p>
            <w:r>
              <w:rPr>
                <w:rFonts w:ascii="Red Hat Text" w:hAnsi="Red Hat Text"/>
                <w:color w:val="151515"/>
                <w:sz w:val="18"/>
              </w:rPr>
              <w:t>Scaling</w:t>
            </w:r>
          </w:p>
        </w:tc>
        <w:tc>
          <w:tcPr>
            <w:tcW w:type="dxa" w:w="1984"/>
          </w:tcPr>
          <w:p>
            <w:r>
              <w:rPr>
                <w:rFonts w:ascii="Red Hat Text" w:hAnsi="Red Hat Text"/>
                <w:color w:val="151515"/>
                <w:sz w:val="18"/>
              </w:rPr>
              <w:t>Add capacity</w:t>
            </w:r>
          </w:p>
        </w:tc>
        <w:tc>
          <w:tcPr>
            <w:tcW w:type="dxa" w:w="2551"/>
          </w:tcPr>
          <w:p>
            <w:r>
              <w:rPr>
                <w:rFonts w:ascii="Red Hat Text" w:hAnsi="Red Hat Text"/>
                <w:color w:val="151515"/>
                <w:sz w:val="18"/>
              </w:rPr>
              <w:t>New node joins cluster</w:t>
            </w:r>
          </w:p>
        </w:tc>
        <w:tc>
          <w:tcPr>
            <w:tcW w:type="dxa" w:w="255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1417"/>
          </w:tcPr>
          <w:p>
            <w:r>
              <w:rPr>
                <w:rFonts w:ascii="Red Hat Text" w:hAnsi="Red Hat Text"/>
                <w:color w:val="151515"/>
                <w:sz w:val="18"/>
              </w:rPr>
              <w:t>Backup</w:t>
            </w:r>
          </w:p>
        </w:tc>
        <w:tc>
          <w:tcPr>
            <w:tcW w:type="dxa" w:w="1984"/>
          </w:tcPr>
          <w:p>
            <w:r>
              <w:rPr>
                <w:rFonts w:ascii="Red Hat Text" w:hAnsi="Red Hat Text"/>
                <w:color w:val="151515"/>
                <w:sz w:val="18"/>
              </w:rPr>
              <w:t>Protect and restore</w:t>
            </w:r>
          </w:p>
        </w:tc>
        <w:tc>
          <w:tcPr>
            <w:tcW w:type="dxa" w:w="2551"/>
          </w:tcPr>
          <w:p>
            <w:r>
              <w:rPr>
                <w:rFonts w:ascii="Red Hat Text" w:hAnsi="Red Hat Text"/>
                <w:color w:val="151515"/>
                <w:sz w:val="18"/>
              </w:rPr>
              <w:t>Data intact after restore</w:t>
            </w:r>
          </w:p>
        </w:tc>
        <w:tc>
          <w:tcPr>
            <w:tcW w:type="dxa" w:w="255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1417"/>
          </w:tcPr>
          <w:p>
            <w:r>
              <w:rPr>
                <w:rFonts w:ascii="Red Hat Text" w:hAnsi="Red Hat Text"/>
                <w:color w:val="151515"/>
                <w:sz w:val="18"/>
              </w:rPr>
              <w:t>Monitoring</w:t>
            </w:r>
          </w:p>
        </w:tc>
        <w:tc>
          <w:tcPr>
            <w:tcW w:type="dxa" w:w="1984"/>
          </w:tcPr>
          <w:p>
            <w:r>
              <w:rPr>
                <w:rFonts w:ascii="Red Hat Text" w:hAnsi="Red Hat Text"/>
                <w:color w:val="151515"/>
                <w:sz w:val="18"/>
              </w:rPr>
              <w:t>Alert pipeline</w:t>
            </w:r>
          </w:p>
        </w:tc>
        <w:tc>
          <w:tcPr>
            <w:tcW w:type="dxa" w:w="2551"/>
          </w:tcPr>
          <w:p>
            <w:r>
              <w:rPr>
                <w:rFonts w:ascii="Red Hat Text" w:hAnsi="Red Hat Text"/>
                <w:color w:val="151515"/>
                <w:sz w:val="18"/>
              </w:rPr>
              <w:t>Alerts delivered</w:t>
            </w:r>
          </w:p>
        </w:tc>
        <w:tc>
          <w:tcPr>
            <w:tcW w:type="dxa" w:w="255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1417"/>
          </w:tcPr>
          <w:p>
            <w:r>
              <w:rPr>
                <w:rFonts w:ascii="Red Hat Text" w:hAnsi="Red Hat Text"/>
                <w:color w:val="151515"/>
                <w:sz w:val="18"/>
              </w:rPr>
              <w:t>Migration</w:t>
            </w:r>
          </w:p>
        </w:tc>
        <w:tc>
          <w:tcPr>
            <w:tcW w:type="dxa" w:w="1984"/>
          </w:tcPr>
          <w:p>
            <w:r>
              <w:rPr>
                <w:rFonts w:ascii="Red Hat Text" w:hAnsi="Red Hat Text"/>
                <w:color w:val="151515"/>
                <w:sz w:val="18"/>
              </w:rPr>
              <w:t>VM migration</w:t>
            </w:r>
          </w:p>
        </w:tc>
        <w:tc>
          <w:tcPr>
            <w:tcW w:type="dxa" w:w="2551"/>
          </w:tcPr>
          <w:p>
            <w:r>
              <w:rPr>
                <w:rFonts w:ascii="Red Hat Text" w:hAnsi="Red Hat Text"/>
                <w:color w:val="151515"/>
                <w:sz w:val="18"/>
              </w:rPr>
              <w:t>VMs operational</w:t>
            </w:r>
          </w:p>
        </w:tc>
        <w:tc>
          <w:tcPr>
            <w:tcW w:type="dxa" w:w="255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1417"/>
          </w:tcPr>
          <w:p>
            <w:r>
              <w:rPr>
                <w:rFonts w:ascii="Red Hat Text" w:hAnsi="Red Hat Text"/>
                <w:color w:val="151515"/>
                <w:sz w:val="18"/>
              </w:rPr>
              <w:t>Upgrade</w:t>
            </w:r>
          </w:p>
        </w:tc>
        <w:tc>
          <w:tcPr>
            <w:tcW w:type="dxa" w:w="1984"/>
          </w:tcPr>
          <w:p>
            <w:r>
              <w:rPr>
                <w:rFonts w:ascii="Red Hat Text" w:hAnsi="Red Hat Text"/>
                <w:color w:val="151515"/>
                <w:sz w:val="18"/>
              </w:rPr>
              <w:t>Version bump</w:t>
            </w:r>
          </w:p>
        </w:tc>
        <w:tc>
          <w:tcPr>
            <w:tcW w:type="dxa" w:w="2551"/>
          </w:tcPr>
          <w:p>
            <w:r>
              <w:rPr>
                <w:rFonts w:ascii="Red Hat Text" w:hAnsi="Red Hat Text"/>
                <w:color w:val="151515"/>
                <w:sz w:val="18"/>
              </w:rPr>
              <w:t>Upgrade succeeds cleanly</w:t>
            </w:r>
          </w:p>
        </w:tc>
        <w:tc>
          <w:tcPr>
            <w:tcW w:type="dxa" w:w="255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</w:tbl>
    <w:p/>
    <w:p>
      <w:pPr>
        <w:pStyle w:val="Heading1"/>
      </w:pPr>
      <w:r>
        <w:t>Phase 10: Closeout</w:t>
      </w:r>
    </w:p>
    <w:p>
      <w:pPr>
        <w:pStyle w:val="Heading2"/>
      </w:pPr>
      <w:r>
        <w:t>Deliverables</w:t>
      </w:r>
    </w:p>
    <w:p>
      <w:r>
        <w:t>The POC concludes with two formal deliverables:</w:t>
      </w:r>
    </w:p>
    <w:p>
      <w:r>
        <w:rPr>
          <w:rFonts w:ascii="Red Hat Text" w:hAnsi="Red Hat Text"/>
          <w:b/>
        </w:rPr>
        <w:t>1. Completed checklist</w:t>
      </w:r>
      <w:r>
        <w:rPr>
          <w:rFonts w:ascii="Red Hat Text" w:hAnsi="Red Hat Text"/>
        </w:rPr>
        <w:t xml:space="preserve"> — this document, filled in with status and notes for every item tested.</w:t>
      </w:r>
    </w:p>
    <w:p>
      <w:r>
        <w:rPr>
          <w:rFonts w:ascii="Red Hat Text" w:hAnsi="Red Hat Text"/>
          <w:b/>
        </w:rPr>
        <w:t>2. Closeout meeting</w:t>
      </w:r>
      <w:r>
        <w:rPr>
          <w:rFonts w:ascii="Red Hat Text" w:hAnsi="Red Hat Text"/>
        </w:rPr>
        <w:t xml:space="preserve"> — a readout of all POC findings, outcomes, gaps, and recommendations presented to stakeholders.</w:t>
      </w:r>
    </w:p>
    <w:p/>
    <w:p>
      <w:pPr>
        <w:pStyle w:val="Heading2"/>
      </w:pPr>
      <w:r>
        <w:t>Findings summary</w:t>
      </w:r>
    </w:p>
    <w:tbl>
      <w:tblPr>
        <w:tblStyle w:val="TableGrid"/>
        <w:tblW w:type="dxa" w:w="10203"/>
        <w:jc w:val="center"/>
        <w:tblLayout w:type="fixed"/>
        <w:tblLook w:firstColumn="1" w:firstRow="1" w:lastColumn="0" w:lastRow="0" w:noHBand="0" w:noVBand="1" w:val="04A0"/>
      </w:tblPr>
      <w:tblGrid>
        <w:gridCol w:w="5102"/>
        <w:gridCol w:w="1020"/>
        <w:gridCol w:w="4081"/>
      </w:tblGrid>
      <w:tr>
        <w:tc>
          <w:tcPr>
            <w:tcW w:type="dxa" w:w="5102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Item</w:t>
            </w:r>
          </w:p>
        </w:tc>
        <w:tc>
          <w:tcPr>
            <w:tcW w:type="dxa" w:w="1020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Status</w:t>
            </w:r>
          </w:p>
        </w:tc>
        <w:tc>
          <w:tcPr>
            <w:tcW w:type="dxa" w:w="4081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Notes</w:t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Successful tests documented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Failures documented with root cause and resolution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Platform gaps identified (features not yet available)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Infrastructure gaps identified (hardware, network, storage)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Application gaps identified (app-specific constraints)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POC-only limitations noted (not relevant to production)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Lessons learned recorded for production planning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Final go/no-go recommendation delivered and agreed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</w:tbl>
    <w:p/>
    <w:p>
      <w:pPr>
        <w:pStyle w:val="Heading2"/>
      </w:pPr>
      <w:r>
        <w:t>Operational readiness of customer team</w:t>
      </w:r>
    </w:p>
    <w:p>
      <w:r>
        <w:t>The customer team has demonstrated the ability to:</w:t>
      </w:r>
    </w:p>
    <w:tbl>
      <w:tblPr>
        <w:tblStyle w:val="TableGrid"/>
        <w:tblW w:type="dxa" w:w="10203"/>
        <w:jc w:val="center"/>
        <w:tblLayout w:type="fixed"/>
        <w:tblLook w:firstColumn="1" w:firstRow="1" w:lastColumn="0" w:lastRow="0" w:noHBand="0" w:noVBand="1" w:val="04A0"/>
      </w:tblPr>
      <w:tblGrid>
        <w:gridCol w:w="5102"/>
        <w:gridCol w:w="1020"/>
        <w:gridCol w:w="4081"/>
      </w:tblGrid>
      <w:tr>
        <w:tc>
          <w:tcPr>
            <w:tcW w:type="dxa" w:w="5102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Item</w:t>
            </w:r>
          </w:p>
        </w:tc>
        <w:tc>
          <w:tcPr>
            <w:tcW w:type="dxa" w:w="1020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Status</w:t>
            </w:r>
          </w:p>
        </w:tc>
        <w:tc>
          <w:tcPr>
            <w:tcW w:type="dxa" w:w="4081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Notes</w:t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Perform routine cluster administration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Diagnose and resolve common issues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Execute cluster upgrades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Add or remove cluster capacity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Run backup and restore procedures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Deploy new applications to the platform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</w:tbl>
    <w:p/>
    <w:p>
      <w:pPr>
        <w:pStyle w:val="Heading2"/>
      </w:pPr>
      <w:r>
        <w:t>Formal approval</w:t>
      </w:r>
    </w:p>
    <w:tbl>
      <w:tblPr>
        <w:tblStyle w:val="TableGrid"/>
        <w:tblW w:type="dxa" w:w="10203"/>
        <w:jc w:val="center"/>
        <w:tblLayout w:type="fixed"/>
        <w:tblLook w:firstColumn="1" w:firstRow="1" w:lastColumn="0" w:lastRow="0" w:noHBand="0" w:noVBand="1" w:val="04A0"/>
      </w:tblPr>
      <w:tblGrid>
        <w:gridCol w:w="2834"/>
        <w:gridCol w:w="2551"/>
        <w:gridCol w:w="3118"/>
        <w:gridCol w:w="1700"/>
      </w:tblGrid>
      <w:tr>
        <w:tc>
          <w:tcPr>
            <w:tcW w:type="dxa" w:w="2834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Role</w:t>
            </w:r>
          </w:p>
        </w:tc>
        <w:tc>
          <w:tcPr>
            <w:tcW w:type="dxa" w:w="2551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Name</w:t>
            </w:r>
          </w:p>
        </w:tc>
        <w:tc>
          <w:tcPr>
            <w:tcW w:type="dxa" w:w="3118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Signature</w:t>
            </w:r>
          </w:p>
        </w:tc>
        <w:tc>
          <w:tcPr>
            <w:tcW w:type="dxa" w:w="1700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Date</w:t>
            </w:r>
          </w:p>
        </w:tc>
      </w:tr>
      <w:tr>
        <w:tc>
          <w:tcPr>
            <w:tcW w:type="dxa" w:w="2834"/>
          </w:tcPr>
          <w:p>
            <w:r>
              <w:rPr>
                <w:rFonts w:ascii="Red Hat Text" w:hAnsi="Red Hat Text"/>
                <w:color w:val="151515"/>
                <w:sz w:val="18"/>
              </w:rPr>
              <w:t>Customer Technical Lead</w:t>
            </w:r>
          </w:p>
        </w:tc>
        <w:tc>
          <w:tcPr>
            <w:tcW w:type="dxa" w:w="2551"/>
          </w:tcPr>
          <w:p/>
        </w:tc>
        <w:tc>
          <w:tcPr>
            <w:tcW w:type="dxa" w:w="3118"/>
          </w:tcPr>
          <w:p/>
        </w:tc>
        <w:tc>
          <w:tcPr>
            <w:tcW w:type="dxa" w:w="1700"/>
          </w:tcPr>
          <w:p/>
        </w:tc>
      </w:tr>
      <w:tr>
        <w:tc>
          <w:tcPr>
            <w:tcW w:type="dxa" w:w="2834"/>
          </w:tcPr>
          <w:p>
            <w:r>
              <w:rPr>
                <w:rFonts w:ascii="Red Hat Text" w:hAnsi="Red Hat Text"/>
                <w:color w:val="151515"/>
                <w:sz w:val="18"/>
              </w:rPr>
              <w:t>Customer Infrastructure Lead</w:t>
            </w:r>
          </w:p>
        </w:tc>
        <w:tc>
          <w:tcPr>
            <w:tcW w:type="dxa" w:w="2551"/>
          </w:tcPr>
          <w:p/>
        </w:tc>
        <w:tc>
          <w:tcPr>
            <w:tcW w:type="dxa" w:w="3118"/>
          </w:tcPr>
          <w:p/>
        </w:tc>
        <w:tc>
          <w:tcPr>
            <w:tcW w:type="dxa" w:w="1700"/>
          </w:tcPr>
          <w:p/>
        </w:tc>
      </w:tr>
      <w:tr>
        <w:tc>
          <w:tcPr>
            <w:tcW w:type="dxa" w:w="2834"/>
          </w:tcPr>
          <w:p>
            <w:r>
              <w:rPr>
                <w:rFonts w:ascii="Red Hat Text" w:hAnsi="Red Hat Text"/>
                <w:color w:val="151515"/>
                <w:sz w:val="18"/>
              </w:rPr>
              <w:t>Red Hat / Partner Engineer</w:t>
            </w:r>
          </w:p>
        </w:tc>
        <w:tc>
          <w:tcPr>
            <w:tcW w:type="dxa" w:w="2551"/>
          </w:tcPr>
          <w:p/>
        </w:tc>
        <w:tc>
          <w:tcPr>
            <w:tcW w:type="dxa" w:w="3118"/>
          </w:tcPr>
          <w:p/>
        </w:tc>
        <w:tc>
          <w:tcPr>
            <w:tcW w:type="dxa" w:w="1700"/>
          </w:tcPr>
          <w:p/>
        </w:tc>
      </w:tr>
      <w:tr>
        <w:tc>
          <w:tcPr>
            <w:tcW w:type="dxa" w:w="2834"/>
          </w:tcPr>
          <w:p>
            <w:r>
              <w:rPr>
                <w:rFonts w:ascii="Red Hat Text" w:hAnsi="Red Hat Text"/>
                <w:color w:val="151515"/>
                <w:sz w:val="18"/>
              </w:rPr>
              <w:t>Project Sponsor</w:t>
            </w:r>
          </w:p>
        </w:tc>
        <w:tc>
          <w:tcPr>
            <w:tcW w:type="dxa" w:w="2551"/>
          </w:tcPr>
          <w:p/>
        </w:tc>
        <w:tc>
          <w:tcPr>
            <w:tcW w:type="dxa" w:w="3118"/>
          </w:tcPr>
          <w:p/>
        </w:tc>
        <w:tc>
          <w:tcPr>
            <w:tcW w:type="dxa" w:w="1700"/>
          </w:tcPr>
          <w:p/>
        </w:tc>
      </w:tr>
    </w:tbl>
    <w:p/>
    <w:p>
      <w:pPr>
        <w:pStyle w:val="Heading1"/>
      </w:pPr>
      <w:r>
        <w:t>Follow-up: Sizing and proposal</w:t>
      </w:r>
    </w:p>
    <w:p>
      <w:r>
        <w:t>Upon successful completion of the POC, the next step is a sizing and proposal process that translates POC findings into a production-ready architecture and commercial agreement.</w:t>
      </w:r>
    </w:p>
    <w:tbl>
      <w:tblPr>
        <w:tblStyle w:val="TableGrid"/>
        <w:tblW w:type="dxa" w:w="10203"/>
        <w:jc w:val="center"/>
        <w:tblLayout w:type="fixed"/>
        <w:tblLook w:firstColumn="1" w:firstRow="1" w:lastColumn="0" w:lastRow="0" w:noHBand="0" w:noVBand="1" w:val="04A0"/>
      </w:tblPr>
      <w:tblGrid>
        <w:gridCol w:w="5102"/>
        <w:gridCol w:w="1020"/>
        <w:gridCol w:w="4081"/>
      </w:tblGrid>
      <w:tr>
        <w:tc>
          <w:tcPr>
            <w:tcW w:type="dxa" w:w="5102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Item</w:t>
            </w:r>
          </w:p>
        </w:tc>
        <w:tc>
          <w:tcPr>
            <w:tcW w:type="dxa" w:w="1020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Status</w:t>
            </w:r>
          </w:p>
        </w:tc>
        <w:tc>
          <w:tcPr>
            <w:tcW w:type="dxa" w:w="4081"/>
            <w:shd w:fill="EE0000" w:val="clear"/>
          </w:tcPr>
          <w:p>
            <w:pPr>
              <w:jc w:val="center"/>
            </w:pPr>
            <w:r>
              <w:rPr>
                <w:rFonts w:ascii="Red Hat Display" w:hAnsi="Red Hat Display"/>
                <w:b/>
                <w:color w:val="FFFFFF"/>
                <w:sz w:val="18"/>
              </w:rPr>
              <w:t>Notes</w:t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Compute sizing documented (CPU, memory, disk per node role)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Storage architecture and capacity plan defined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Network topology and segmentation documented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High-availability and DR strategy outlined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Backup retention and RPO/RTO targets set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Security hardening steps identified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Alerting and on-call strategy documented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Operational ownership model agreed (who runs what)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Hardware bill of materials finalized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Network allocation documented (subnets, IPs, firewall rules)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Red Hat entitlements and subscription counts confirmed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External dependencies cataloged (storage, load balancers, DNS)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  <w:tr>
        <w:tc>
          <w:tcPr>
            <w:tcW w:type="dxa" w:w="5102"/>
          </w:tcPr>
          <w:p>
            <w:r>
              <w:rPr>
                <w:rFonts w:ascii="Red Hat Text" w:hAnsi="Red Hat Text"/>
                <w:color w:val="151515"/>
                <w:sz w:val="18"/>
              </w:rPr>
              <w:t>Commercial proposal delivered to customer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rFonts w:ascii="Red Hat Text" w:hAnsi="Red Hat Text"/>
                <w:color w:val="151515"/>
                <w:sz w:val="18"/>
              </w:rPr>
              <w:t>☐</w:t>
            </w:r>
          </w:p>
        </w:tc>
        <w:tc>
          <w:tcPr>
            <w:tcW w:type="dxa" w:w="4081"/>
          </w:tcPr>
          <w:p>
            <w:r>
              <w:rPr>
                <w:rFonts w:ascii="Red Hat Text" w:hAnsi="Red Hat Text"/>
                <w:color w:val="151515"/>
                <w:sz w:val="18"/>
              </w:rPr>
            </w:r>
          </w:p>
        </w:tc>
      </w:tr>
    </w:tbl>
    <w:p/>
    <w:sectPr w:rsidR="00FC693F" w:rsidRPr="0006063C" w:rsidSect="00034616">
      <w:pgSz w:w="11906" w:h="16838"/>
      <w:pgMar w:top="1134" w:right="850" w:bottom="1134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12" w:lineRule="auto"/>
    </w:pPr>
    <w:rPr>
      <w:rFonts w:ascii="Red Hat Text" w:hAnsi="Red Hat Text"/>
      <w:color w:val="15151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160"/>
      <w:outlineLvl w:val="0"/>
    </w:pPr>
    <w:rPr>
      <w:rFonts w:asciiTheme="majorHAnsi" w:eastAsiaTheme="majorEastAsia" w:hAnsiTheme="majorHAnsi" w:cstheme="majorBidi" w:ascii="Red Hat Display" w:hAnsi="Red Hat Display"/>
      <w:b/>
      <w:bCs/>
      <w:color w:val="EE0000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320" w:after="120"/>
      <w:outlineLvl w:val="1"/>
    </w:pPr>
    <w:rPr>
      <w:rFonts w:asciiTheme="majorHAnsi" w:eastAsiaTheme="majorEastAsia" w:hAnsiTheme="majorHAnsi" w:cstheme="majorBidi" w:ascii="Red Hat Display" w:hAnsi="Red Hat Display"/>
      <w:b/>
      <w:bCs/>
      <w:color w:val="383838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